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Pr="00D6641F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Pr="00D6641F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61439">
        <w:rPr>
          <w:b/>
          <w:color w:val="943634"/>
          <w:sz w:val="48"/>
          <w:szCs w:val="48"/>
        </w:rPr>
        <w:t>MEETING NAME</w:t>
      </w:r>
      <w:r w:rsidR="00BF7B82">
        <w:rPr>
          <w:b/>
          <w:color w:val="943634"/>
          <w:sz w:val="48"/>
          <w:szCs w:val="48"/>
        </w:rPr>
        <w:t xml:space="preserve"> AGENDA</w:t>
      </w:r>
      <w:bookmarkStart w:id="0" w:name="_GoBack"/>
      <w:bookmarkEnd w:id="0"/>
    </w:p>
    <w:p w:rsidR="00C61439" w:rsidRPr="00F1001E" w:rsidRDefault="00C61439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 w:rsidRPr="00F1001E">
        <w:rPr>
          <w:rStyle w:val="IntenseEmphasis"/>
          <w:rFonts w:ascii="Calibri" w:hAnsi="Calibri" w:cs="Times New Roman"/>
          <w:i w:val="0"/>
          <w:color w:val="auto"/>
        </w:rPr>
        <w:t xml:space="preserve">DATE </w:t>
      </w:r>
      <w:r w:rsidRPr="00F1001E">
        <w:rPr>
          <w:rFonts w:ascii="Calibri" w:hAnsi="Calibri" w:cs="Times New Roman"/>
          <w:i/>
        </w:rPr>
        <w:t xml:space="preserve">| TIME | </w:t>
      </w:r>
      <w:r w:rsidRPr="00F1001E">
        <w:rPr>
          <w:rStyle w:val="IntenseEmphasis"/>
          <w:rFonts w:ascii="Calibri" w:hAnsi="Calibri" w:cs="Times New Roman"/>
          <w:i w:val="0"/>
          <w:color w:val="auto"/>
        </w:rPr>
        <w:t>LOCATION</w:t>
      </w:r>
      <w:r w:rsidRPr="00F1001E">
        <w:rPr>
          <w:rFonts w:ascii="Calibri" w:hAnsi="Calibri" w:cs="Times New Roman"/>
          <w:i/>
        </w:rPr>
        <w:t xml:space="preserve">  </w:t>
      </w:r>
    </w:p>
    <w:p w:rsidR="00FB2D89" w:rsidRDefault="00FB2D89" w:rsidP="003A4F00">
      <w:pPr>
        <w:ind w:left="3420"/>
      </w:pPr>
    </w:p>
    <w:p w:rsidR="003A4F00" w:rsidRPr="00C61439" w:rsidRDefault="00C61439" w:rsidP="00C61439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  <w:t>Presenter</w:t>
      </w:r>
    </w:p>
    <w:p w:rsidR="003A4F00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Call to Order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3A4F00" w:rsidRDefault="00C61439" w:rsidP="00D6641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</w:p>
    <w:p w:rsidR="00D6641F" w:rsidRPr="00D6641F" w:rsidRDefault="00D6641F" w:rsidP="00D6641F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p w:rsidR="003A4F00" w:rsidRDefault="003A4F00" w:rsidP="00D6641F">
      <w:pPr>
        <w:tabs>
          <w:tab w:val="left" w:pos="3510"/>
        </w:tabs>
      </w:pPr>
    </w:p>
    <w:p w:rsidR="003A4F00" w:rsidRDefault="003A4F00" w:rsidP="00D6641F">
      <w:pPr>
        <w:tabs>
          <w:tab w:val="left" w:pos="3510"/>
        </w:tabs>
      </w:pPr>
    </w:p>
    <w:p w:rsidR="003A4F00" w:rsidRDefault="003A4F00" w:rsidP="003A4F00"/>
    <w:sectPr w:rsidR="003A4F00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1824F0"/>
    <w:rsid w:val="003A4F00"/>
    <w:rsid w:val="006B16D4"/>
    <w:rsid w:val="00753B77"/>
    <w:rsid w:val="00BF7B82"/>
    <w:rsid w:val="00C61439"/>
    <w:rsid w:val="00D6641F"/>
    <w:rsid w:val="00F1001E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136B-5DA4-4FCF-9763-7FF4DDE2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Kelly Abad</cp:lastModifiedBy>
  <cp:revision>2</cp:revision>
  <dcterms:created xsi:type="dcterms:W3CDTF">2015-08-10T20:14:00Z</dcterms:created>
  <dcterms:modified xsi:type="dcterms:W3CDTF">2015-08-10T21:48:00Z</dcterms:modified>
</cp:coreProperties>
</file>